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Interrogazione con richiesta di risposta scritta E-004976/2021</w:t>
      </w:r>
    </w:p>
    <w:p>
      <w:pPr>
        <w:pStyle w:val="Arial10"/>
      </w:pPr>
      <w:r>
        <w:rPr>
          <w:rStyle w:val="Bold"/>
        </w:rPr>
        <w:t>alla Commissione</w:t>
      </w:r>
    </w:p>
    <w:p>
      <w:pPr>
        <w:pStyle w:val="Arial10"/>
      </w:pPr>
      <w:r>
        <w:t>Articolo 138 del regolamento</w:t>
      </w:r>
    </w:p>
    <w:p>
      <w:pPr>
        <w:pStyle w:val="Arial10After10"/>
      </w:pPr>
      <w:r>
        <w:rPr>
          <w:rStyle w:val="Bold"/>
        </w:rPr>
        <w:t>Salvatore De Meo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Lucia Vuolo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Andrea Caroppo</w:t>
      </w:r>
      <w:r>
        <w:t xml:space="preserve"> (</w:t>
      </w:r>
      <w:r>
        <w:t>PPE</w:t>
      </w:r>
      <w:r>
        <w:t>)</w:t>
      </w:r>
    </w:p>
    <w:p>
      <w:pPr>
        <w:pStyle w:val="Subject"/>
      </w:pPr>
      <w:r>
        <w:t>Oggetto</w:t>
      </w:r>
      <w:r>
        <w:t>:</w:t>
      </w:r>
      <w:r>
        <w:tab/>
      </w:r>
      <w:r>
        <w:t>Finanziamenti europei destinati alla produzione di carne in vitro</w:t>
      </w:r>
    </w:p>
    <w:p>
      <w:pPr>
        <w:pStyle w:val="Body"/>
      </w:pPr>
      <w:r>
        <w:t>Le risorse di REACT-EU sono finalizzate al superamento della crisi della pandemia di COVID-19 e alla preparazione di una ripresa verde, digitale e resiliente dell’economia. Tramite il FESR è stato concesso un finanziamento da 2 milioni di EUR (di cui 1.491.706 EUR provenienti da REACT-EU) a due società olandesi (Nutreco e Mosa Meat) per la ricerca finalizzata all’abbassamento dei costi della produzione di carne in vitro prodotta in laboratorio.</w:t>
      </w:r>
    </w:p>
    <w:p>
      <w:pPr>
        <w:pStyle w:val="Body"/>
      </w:pPr>
      <w:r>
        <w:t>Tuttavia, la vendita della carne in vitro non è ancora autorizzata a livello europeo e il settore zootecnico svolge un ruolo fondamentale da un punto di vista ambientale, economico e sociale come elemento identitario radicato nella cultura e la tradizione europea, nonché presidio per la prevenzione dello spopolamento delle aree rurali.</w:t>
      </w:r>
    </w:p>
    <w:p>
      <w:pPr>
        <w:pStyle w:val="Body"/>
      </w:pPr>
      <w:r>
        <w:t>Ciò premesso, si chiede alla Commissione:</w:t>
      </w:r>
    </w:p>
    <w:p>
      <w:pPr>
        <w:pStyle w:val="itemList"/>
      </w:pPr>
      <w:r>
        <w:t>1.</w:t>
      </w:r>
      <w:r>
        <w:tab/>
      </w:r>
      <w:r>
        <w:t>come giustifica tale finanziamento alla multinazionale Nutreco nell’ambito del FESR e dell’obiettivo delle risorse REACT-EU;</w:t>
      </w:r>
    </w:p>
    <w:p>
      <w:pPr>
        <w:pStyle w:val="itemList"/>
      </w:pPr>
      <w:r>
        <w:t>2.</w:t>
      </w:r>
      <w:r>
        <w:tab/>
      </w:r>
      <w:r>
        <w:t>su quali basi scientifiche tale modalità di produzione viene considerata utile per la lotta ai cambiamenti climatici;</w:t>
      </w:r>
    </w:p>
    <w:p>
      <w:pPr>
        <w:pStyle w:val="itemList"/>
      </w:pPr>
      <w:r>
        <w:t>3.</w:t>
      </w:r>
      <w:r>
        <w:tab/>
      </w:r>
      <w:r>
        <w:t>quale impatto potrà avere la produzione di carne in laboratorio sul complessivo sistema agroalimentare ed in particolare su quello zootecnico.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PE700.039v01-00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PE700.039v01-00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PE700.039v01-00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Interrogazione con richiesta di risposta scritta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20220209-121122-168242-662834</vt:lpwstr>
  </property>
</Properties>
</file>